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sidR="003408A5">
        <w:rPr>
          <w:rFonts w:hint="eastAsia"/>
          <w:sz w:val="24"/>
          <w:szCs w:val="24"/>
        </w:rPr>
        <w:t>⑥</w:t>
      </w:r>
    </w:p>
    <w:p w:rsidR="007E5B33" w:rsidRDefault="007E5B33" w:rsidP="000459C3">
      <w:pPr>
        <w:jc w:val="center"/>
        <w:rPr>
          <w:sz w:val="24"/>
          <w:szCs w:val="24"/>
        </w:rPr>
      </w:pPr>
    </w:p>
    <w:p w:rsidR="005C1BC9" w:rsidRPr="000459C3" w:rsidRDefault="00772CF1" w:rsidP="000459C3">
      <w:pPr>
        <w:jc w:val="center"/>
        <w:rPr>
          <w:sz w:val="24"/>
          <w:szCs w:val="24"/>
        </w:rPr>
      </w:pPr>
      <w:r>
        <w:rPr>
          <w:rFonts w:hint="eastAsia"/>
          <w:sz w:val="24"/>
          <w:szCs w:val="24"/>
        </w:rPr>
        <w:t>地震防災</w:t>
      </w:r>
      <w:r w:rsidR="009D39D7">
        <w:rPr>
          <w:rFonts w:hint="eastAsia"/>
          <w:sz w:val="24"/>
          <w:szCs w:val="24"/>
        </w:rPr>
        <w:t xml:space="preserve">　</w:t>
      </w:r>
      <w:r>
        <w:rPr>
          <w:rFonts w:hint="eastAsia"/>
          <w:sz w:val="24"/>
          <w:szCs w:val="24"/>
        </w:rPr>
        <w:t>学習</w:t>
      </w:r>
      <w:r w:rsidR="007E5B33">
        <w:rPr>
          <w:rFonts w:hint="eastAsia"/>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730309" w:rsidP="007E5B33">
      <w:pPr>
        <w:wordWrap w:val="0"/>
        <w:jc w:val="right"/>
      </w:pPr>
      <w:r>
        <w:rPr>
          <w:rFonts w:hint="eastAsia"/>
        </w:rPr>
        <w:t>小学校高学年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2A60D3">
      <w:pPr>
        <w:wordWrap w:val="0"/>
        <w:jc w:val="right"/>
      </w:pPr>
      <w:r>
        <w:rPr>
          <w:rFonts w:hint="eastAsia"/>
        </w:rPr>
        <w:t xml:space="preserve">指導者　</w:t>
      </w:r>
      <w:r w:rsidR="002A60D3">
        <w:rPr>
          <w:rFonts w:hint="eastAsia"/>
        </w:rPr>
        <w:t xml:space="preserve"> </w:t>
      </w:r>
      <w:r w:rsidR="002A60D3">
        <w:t xml:space="preserve">     </w:t>
      </w:r>
    </w:p>
    <w:p w:rsidR="00B701C5" w:rsidRDefault="00B701C5"/>
    <w:p w:rsidR="005E7387" w:rsidRDefault="00C33B27">
      <w:r w:rsidRPr="00730309">
        <w:rPr>
          <w:rFonts w:hint="eastAsia"/>
          <w:b/>
        </w:rPr>
        <w:t>１　題材名</w:t>
      </w:r>
      <w:r>
        <w:rPr>
          <w:rFonts w:hint="eastAsia"/>
        </w:rPr>
        <w:t xml:space="preserve">　「</w:t>
      </w:r>
      <w:r w:rsidR="003408A5">
        <w:rPr>
          <w:rFonts w:hint="eastAsia"/>
        </w:rPr>
        <w:t>非常持ち出し袋に入れるものを考えよう</w:t>
      </w:r>
      <w:r w:rsidR="005E7387">
        <w:rPr>
          <w:rFonts w:hint="eastAsia"/>
        </w:rPr>
        <w:t>」</w:t>
      </w:r>
    </w:p>
    <w:p w:rsidR="00B701C5" w:rsidRDefault="00C33B27">
      <w:r>
        <w:rPr>
          <w:rFonts w:hint="eastAsia"/>
        </w:rPr>
        <w:t xml:space="preserve">　</w:t>
      </w:r>
    </w:p>
    <w:p w:rsidR="00C33B27" w:rsidRPr="00730309" w:rsidRDefault="00C33B27">
      <w:pPr>
        <w:rPr>
          <w:b/>
        </w:rPr>
      </w:pPr>
      <w:r w:rsidRPr="00730309">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3408A5" w:rsidRDefault="003408A5" w:rsidP="003408A5">
      <w:pPr>
        <w:ind w:left="420" w:firstLineChars="100" w:firstLine="210"/>
      </w:pPr>
      <w:r>
        <w:rPr>
          <w:rFonts w:hint="eastAsia"/>
        </w:rPr>
        <w:t>地震発生後、しばらくの間、自宅を離れて避難所で生活することもある。食糧・水などの必需品が不足する中での不便な生活も考えられる。非常持ち出し袋に何を入れていくかを</w:t>
      </w:r>
      <w:r w:rsidR="009D39D7">
        <w:rPr>
          <w:rFonts w:hint="eastAsia"/>
        </w:rPr>
        <w:t>グループ</w:t>
      </w:r>
      <w:r>
        <w:rPr>
          <w:rFonts w:hint="eastAsia"/>
        </w:rPr>
        <w:t>で考えさせ、その結果を家族と話合わせて、実際に準備させることは、災害時の避難生活で役立つ。</w:t>
      </w:r>
    </w:p>
    <w:p w:rsidR="00B701C5" w:rsidRPr="003408A5" w:rsidRDefault="00B701C5"/>
    <w:p w:rsidR="005247F6" w:rsidRPr="00730309" w:rsidRDefault="00C33B27">
      <w:pPr>
        <w:rPr>
          <w:b/>
        </w:rPr>
      </w:pPr>
      <w:r w:rsidRPr="00730309">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730309" w:rsidRDefault="00C33B27">
      <w:pPr>
        <w:rPr>
          <w:b/>
        </w:rPr>
      </w:pPr>
      <w:r w:rsidRPr="00730309">
        <w:rPr>
          <w:rFonts w:hint="eastAsia"/>
          <w:b/>
        </w:rPr>
        <w:t>４　事前の指導</w:t>
      </w:r>
    </w:p>
    <w:p w:rsidR="004359EE" w:rsidRDefault="004359EE"/>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730309">
        <w:trPr>
          <w:trHeight w:val="776"/>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359EE" w:rsidRDefault="004359EE"/>
    <w:p w:rsidR="00C33B27" w:rsidRPr="00730309" w:rsidRDefault="00C33B27">
      <w:pPr>
        <w:rPr>
          <w:b/>
        </w:rPr>
      </w:pPr>
      <w:r w:rsidRPr="00730309">
        <w:rPr>
          <w:rFonts w:hint="eastAsia"/>
          <w:b/>
        </w:rPr>
        <w:t>５　本時のねらい</w:t>
      </w:r>
    </w:p>
    <w:p w:rsidR="004359EE" w:rsidRDefault="004359EE"/>
    <w:p w:rsidR="00C33B27" w:rsidRDefault="00ED6E36">
      <w:r>
        <w:rPr>
          <w:rFonts w:hint="eastAsia"/>
        </w:rPr>
        <w:t xml:space="preserve">　</w:t>
      </w:r>
      <w:r w:rsidR="009D39D7">
        <w:rPr>
          <w:rFonts w:hint="eastAsia"/>
        </w:rPr>
        <w:t xml:space="preserve">　</w:t>
      </w:r>
      <w:r w:rsidR="00AD5AD0">
        <w:rPr>
          <w:rFonts w:hint="eastAsia"/>
        </w:rPr>
        <w:t>地震による死者の多くが倒壊した建物や転倒した家具の下敷きによる圧死であることを理解させる。</w:t>
      </w:r>
    </w:p>
    <w:p w:rsidR="00AD5AD0" w:rsidRDefault="00AD5AD0">
      <w:r>
        <w:rPr>
          <w:rFonts w:hint="eastAsia"/>
        </w:rPr>
        <w:t xml:space="preserve">　圧死を避ける方法として建物の耐震化と家具の固定が大切であることを理解させる。</w:t>
      </w:r>
    </w:p>
    <w:p w:rsidR="00AD5AD0" w:rsidRDefault="00AD5AD0">
      <w:r>
        <w:rPr>
          <w:rFonts w:hint="eastAsia"/>
        </w:rPr>
        <w:t xml:space="preserve">　家具の固定の方法を理解させる。</w:t>
      </w:r>
    </w:p>
    <w:p w:rsidR="004359EE" w:rsidRDefault="004359EE"/>
    <w:p w:rsidR="00C33B27" w:rsidRPr="00730309" w:rsidRDefault="00C33B27">
      <w:pPr>
        <w:rPr>
          <w:b/>
        </w:rPr>
      </w:pPr>
      <w:r w:rsidRPr="00730309">
        <w:rPr>
          <w:rFonts w:hint="eastAsia"/>
          <w:b/>
        </w:rPr>
        <w:lastRenderedPageBreak/>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5B2A55">
              <w:rPr>
                <w:rFonts w:hint="eastAsia"/>
              </w:rPr>
              <w:t>こども</w:t>
            </w:r>
            <w:r>
              <w:rPr>
                <w:rFonts w:hint="eastAsia"/>
              </w:rPr>
              <w:t>の姿と評価方法</w:t>
            </w:r>
          </w:p>
        </w:tc>
      </w:tr>
      <w:tr w:rsidR="002C7389" w:rsidTr="00F10642">
        <w:trPr>
          <w:cantSplit/>
          <w:trHeight w:val="889"/>
        </w:trPr>
        <w:tc>
          <w:tcPr>
            <w:tcW w:w="582" w:type="dxa"/>
            <w:vMerge w:val="restart"/>
            <w:textDirection w:val="tbRlV"/>
            <w:vAlign w:val="center"/>
          </w:tcPr>
          <w:p w:rsidR="002C7389" w:rsidRDefault="002C7389" w:rsidP="00B0302C">
            <w:pPr>
              <w:ind w:left="113" w:right="113"/>
              <w:jc w:val="center"/>
            </w:pPr>
            <w:r>
              <w:rPr>
                <w:rFonts w:hint="eastAsia"/>
              </w:rPr>
              <w:t>導入</w:t>
            </w:r>
          </w:p>
        </w:tc>
        <w:tc>
          <w:tcPr>
            <w:tcW w:w="2755" w:type="dxa"/>
            <w:tcBorders>
              <w:bottom w:val="dotted" w:sz="4" w:space="0" w:color="auto"/>
            </w:tcBorders>
          </w:tcPr>
          <w:p w:rsidR="00F10642" w:rsidRDefault="00F10642" w:rsidP="009B6BE9">
            <w:r>
              <w:rPr>
                <w:rFonts w:hint="eastAsia"/>
              </w:rPr>
              <w:t xml:space="preserve">　非常持ち出し袋に入れるものと量を考え、発表する。</w:t>
            </w:r>
          </w:p>
        </w:tc>
        <w:tc>
          <w:tcPr>
            <w:tcW w:w="3027" w:type="dxa"/>
            <w:tcBorders>
              <w:bottom w:val="dotted" w:sz="4" w:space="0" w:color="auto"/>
            </w:tcBorders>
          </w:tcPr>
          <w:p w:rsidR="00F10642" w:rsidRPr="00AD5AD0" w:rsidRDefault="00F10642" w:rsidP="00F10642">
            <w:pPr>
              <w:ind w:firstLineChars="100" w:firstLine="210"/>
            </w:pPr>
            <w:r>
              <w:rPr>
                <w:rFonts w:hint="eastAsia"/>
              </w:rPr>
              <w:t>過去の学習の定着を図るために、一般的に非常持ち出し袋には何をどれくらい入れるかを問う。</w:t>
            </w:r>
          </w:p>
        </w:tc>
        <w:tc>
          <w:tcPr>
            <w:tcW w:w="3264" w:type="dxa"/>
            <w:tcBorders>
              <w:bottom w:val="dotted" w:sz="4" w:space="0" w:color="auto"/>
            </w:tcBorders>
          </w:tcPr>
          <w:p w:rsidR="00F10642" w:rsidRDefault="00F10642">
            <w:r>
              <w:rPr>
                <w:rFonts w:hint="eastAsia"/>
              </w:rPr>
              <w:t xml:space="preserve">　これまでに学んだ非常持ち出し袋についての知識</w:t>
            </w:r>
            <w:r w:rsidR="009D39D7">
              <w:rPr>
                <w:rFonts w:hint="eastAsia"/>
              </w:rPr>
              <w:t>をしっかりと理解しているか</w:t>
            </w:r>
            <w:r>
              <w:rPr>
                <w:rFonts w:hint="eastAsia"/>
              </w:rPr>
              <w:t>。</w:t>
            </w:r>
          </w:p>
          <w:p w:rsidR="00F10642" w:rsidRPr="00F10642" w:rsidRDefault="00F10642">
            <w:r>
              <w:rPr>
                <w:rFonts w:hint="eastAsia"/>
              </w:rPr>
              <w:t xml:space="preserve">　積極的に発表しているか。</w:t>
            </w:r>
          </w:p>
        </w:tc>
      </w:tr>
      <w:tr w:rsidR="002C7389" w:rsidTr="00F10642">
        <w:trPr>
          <w:cantSplit/>
          <w:trHeight w:val="67"/>
        </w:trPr>
        <w:tc>
          <w:tcPr>
            <w:tcW w:w="582" w:type="dxa"/>
            <w:vMerge/>
            <w:textDirection w:val="tbRlV"/>
            <w:vAlign w:val="center"/>
          </w:tcPr>
          <w:p w:rsidR="002C7389" w:rsidRDefault="002C7389" w:rsidP="00B0302C">
            <w:pPr>
              <w:ind w:left="113" w:right="113"/>
              <w:jc w:val="center"/>
            </w:pPr>
          </w:p>
        </w:tc>
        <w:tc>
          <w:tcPr>
            <w:tcW w:w="2755" w:type="dxa"/>
            <w:tcBorders>
              <w:top w:val="dotted" w:sz="4" w:space="0" w:color="auto"/>
            </w:tcBorders>
          </w:tcPr>
          <w:p w:rsidR="00F10642" w:rsidRDefault="00F10642" w:rsidP="00F10642">
            <w:pPr>
              <w:ind w:firstLineChars="100" w:firstLine="210"/>
            </w:pPr>
            <w:r>
              <w:rPr>
                <w:rFonts w:hint="eastAsia"/>
              </w:rPr>
              <w:t>これから行う「非常持ち出し袋ゲーム」の方法を聞き、理解する。</w:t>
            </w:r>
          </w:p>
        </w:tc>
        <w:tc>
          <w:tcPr>
            <w:tcW w:w="3027" w:type="dxa"/>
            <w:tcBorders>
              <w:top w:val="dotted" w:sz="4" w:space="0" w:color="auto"/>
            </w:tcBorders>
          </w:tcPr>
          <w:p w:rsidR="00F10642" w:rsidRDefault="00F10642" w:rsidP="00F10642">
            <w:pPr>
              <w:ind w:firstLineChars="100" w:firstLine="210"/>
            </w:pPr>
            <w:r>
              <w:rPr>
                <w:rFonts w:hint="eastAsia"/>
              </w:rPr>
              <w:t>これから行う「非常持ち出し袋」の方法を説明する。</w:t>
            </w:r>
          </w:p>
        </w:tc>
        <w:tc>
          <w:tcPr>
            <w:tcW w:w="3264" w:type="dxa"/>
            <w:tcBorders>
              <w:top w:val="dotted" w:sz="4" w:space="0" w:color="auto"/>
            </w:tcBorders>
          </w:tcPr>
          <w:p w:rsidR="00F10642" w:rsidRDefault="00F10642" w:rsidP="002C7389">
            <w:r>
              <w:rPr>
                <w:rFonts w:hint="eastAsia"/>
              </w:rPr>
              <w:t xml:space="preserve">　説明を聞き、理解できているか。</w:t>
            </w:r>
          </w:p>
        </w:tc>
      </w:tr>
      <w:tr w:rsidR="0064149A" w:rsidTr="008A714B">
        <w:trPr>
          <w:cantSplit/>
          <w:trHeight w:val="471"/>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2C7389" w:rsidRDefault="00E47EEA" w:rsidP="002C7389">
            <w:r>
              <w:rPr>
                <w:rFonts w:hint="eastAsia"/>
              </w:rPr>
              <w:t xml:space="preserve">　グループに分かれて</w:t>
            </w:r>
            <w:r w:rsidR="00221D04">
              <w:rPr>
                <w:rFonts w:hint="eastAsia"/>
              </w:rPr>
              <w:t>非常持ち出し袋に入れる物品を検討する</w:t>
            </w:r>
            <w:r>
              <w:rPr>
                <w:rFonts w:hint="eastAsia"/>
              </w:rPr>
              <w:t>。</w:t>
            </w:r>
          </w:p>
          <w:p w:rsidR="007B201F" w:rsidRDefault="007B201F" w:rsidP="007B201F">
            <w:r>
              <w:rPr>
                <w:rFonts w:hint="eastAsia"/>
              </w:rPr>
              <w:t xml:space="preserve">　与えられた金額で、何を何個買うかを相談する。</w:t>
            </w:r>
          </w:p>
        </w:tc>
        <w:tc>
          <w:tcPr>
            <w:tcW w:w="3027" w:type="dxa"/>
            <w:tcBorders>
              <w:bottom w:val="dotted" w:sz="4" w:space="0" w:color="auto"/>
            </w:tcBorders>
          </w:tcPr>
          <w:p w:rsidR="00C62E90" w:rsidRDefault="00E47EEA" w:rsidP="002C7389">
            <w:r>
              <w:rPr>
                <w:rFonts w:hint="eastAsia"/>
              </w:rPr>
              <w:t>（ルール）</w:t>
            </w:r>
          </w:p>
          <w:p w:rsidR="00E47EEA" w:rsidRDefault="00E47EEA" w:rsidP="002C7389">
            <w:r>
              <w:rPr>
                <w:rFonts w:hint="eastAsia"/>
              </w:rPr>
              <w:t>・非常持ち出し袋に入れる物品と値段の書いたカード</w:t>
            </w:r>
            <w:r w:rsidR="007B201F">
              <w:rPr>
                <w:rFonts w:hint="eastAsia"/>
              </w:rPr>
              <w:t>（水、缶詰、医薬品、懐中電灯、タオル…など</w:t>
            </w:r>
            <w:r w:rsidR="007B201F">
              <w:rPr>
                <w:rFonts w:hint="eastAsia"/>
              </w:rPr>
              <w:t>30</w:t>
            </w:r>
            <w:r w:rsidR="007B201F">
              <w:rPr>
                <w:rFonts w:hint="eastAsia"/>
              </w:rPr>
              <w:t>品目程度）</w:t>
            </w:r>
            <w:r>
              <w:rPr>
                <w:rFonts w:hint="eastAsia"/>
              </w:rPr>
              <w:t>を準備する。</w:t>
            </w:r>
          </w:p>
          <w:p w:rsidR="00E47EEA" w:rsidRDefault="00E47EEA" w:rsidP="00E47EEA">
            <w:r>
              <w:rPr>
                <w:rFonts w:hint="eastAsia"/>
              </w:rPr>
              <w:t>・定額（例えば</w:t>
            </w:r>
            <w:r w:rsidR="00730309">
              <w:rPr>
                <w:rFonts w:hint="eastAsia"/>
              </w:rPr>
              <w:t>1</w:t>
            </w:r>
            <w:r w:rsidR="00730309">
              <w:rPr>
                <w:rFonts w:hint="eastAsia"/>
              </w:rPr>
              <w:t>万円</w:t>
            </w:r>
            <w:r>
              <w:rPr>
                <w:rFonts w:hint="eastAsia"/>
              </w:rPr>
              <w:t>）で何をいくつかうかを相談</w:t>
            </w:r>
            <w:r w:rsidR="007B201F">
              <w:rPr>
                <w:rFonts w:hint="eastAsia"/>
              </w:rPr>
              <w:t>させる</w:t>
            </w:r>
            <w:r>
              <w:rPr>
                <w:rFonts w:hint="eastAsia"/>
              </w:rPr>
              <w:t>。</w:t>
            </w:r>
          </w:p>
          <w:p w:rsidR="007B201F" w:rsidRPr="007B201F" w:rsidRDefault="007B201F" w:rsidP="00E47EEA">
            <w:r>
              <w:rPr>
                <w:rFonts w:hint="eastAsia"/>
              </w:rPr>
              <w:t>・割引券を与える。足し算、引き算、掛け算、割り算の練習にもなる。</w:t>
            </w:r>
          </w:p>
        </w:tc>
        <w:tc>
          <w:tcPr>
            <w:tcW w:w="3264" w:type="dxa"/>
            <w:tcBorders>
              <w:bottom w:val="dotted" w:sz="4" w:space="0" w:color="auto"/>
            </w:tcBorders>
          </w:tcPr>
          <w:p w:rsidR="00C62E90" w:rsidRDefault="007B201F" w:rsidP="00512C43">
            <w:r>
              <w:rPr>
                <w:rFonts w:hint="eastAsia"/>
              </w:rPr>
              <w:t xml:space="preserve">　</w:t>
            </w:r>
            <w:r w:rsidR="00221D04">
              <w:rPr>
                <w:rFonts w:hint="eastAsia"/>
              </w:rPr>
              <w:t>話し合い</w:t>
            </w:r>
            <w:r>
              <w:rPr>
                <w:rFonts w:hint="eastAsia"/>
              </w:rPr>
              <w:t>に積極</w:t>
            </w:r>
            <w:r w:rsidR="00221D04">
              <w:rPr>
                <w:rFonts w:hint="eastAsia"/>
              </w:rPr>
              <w:t>的</w:t>
            </w:r>
            <w:r>
              <w:rPr>
                <w:rFonts w:hint="eastAsia"/>
              </w:rPr>
              <w:t>にとりくんでいるか。</w:t>
            </w:r>
          </w:p>
          <w:p w:rsidR="007B201F" w:rsidRDefault="007B201F" w:rsidP="00512C43">
            <w:r>
              <w:rPr>
                <w:rFonts w:hint="eastAsia"/>
              </w:rPr>
              <w:t xml:space="preserve">　自分の意見を適切に主張し、他者の意見に耳を傾けているか。</w:t>
            </w:r>
          </w:p>
          <w:p w:rsidR="007B201F" w:rsidRDefault="007B201F" w:rsidP="00512C43">
            <w:r>
              <w:rPr>
                <w:rFonts w:hint="eastAsia"/>
              </w:rPr>
              <w:t xml:space="preserve">　物品を買う理由は理にかなっているか。</w:t>
            </w:r>
          </w:p>
        </w:tc>
      </w:tr>
      <w:tr w:rsidR="00C62E90" w:rsidTr="00C62E90">
        <w:trPr>
          <w:cantSplit/>
          <w:trHeight w:val="422"/>
        </w:trPr>
        <w:tc>
          <w:tcPr>
            <w:tcW w:w="582" w:type="dxa"/>
            <w:vMerge/>
            <w:textDirection w:val="tbRlV"/>
          </w:tcPr>
          <w:p w:rsidR="00C62E90" w:rsidRDefault="00C62E90" w:rsidP="00B0302C">
            <w:pPr>
              <w:ind w:left="113" w:right="113"/>
              <w:jc w:val="center"/>
            </w:pPr>
          </w:p>
        </w:tc>
        <w:tc>
          <w:tcPr>
            <w:tcW w:w="2755" w:type="dxa"/>
            <w:tcBorders>
              <w:top w:val="dotted" w:sz="4" w:space="0" w:color="auto"/>
            </w:tcBorders>
          </w:tcPr>
          <w:p w:rsidR="00C62E90" w:rsidRDefault="00C62E90" w:rsidP="007B201F">
            <w:pPr>
              <w:ind w:firstLineChars="100" w:firstLine="210"/>
            </w:pPr>
            <w:r>
              <w:rPr>
                <w:rFonts w:hint="eastAsia"/>
              </w:rPr>
              <w:t>グループで</w:t>
            </w:r>
            <w:r w:rsidR="007B201F">
              <w:rPr>
                <w:rFonts w:hint="eastAsia"/>
              </w:rPr>
              <w:t>購入することに決めた物品と数量、その理由を発表する。</w:t>
            </w:r>
          </w:p>
        </w:tc>
        <w:tc>
          <w:tcPr>
            <w:tcW w:w="3027" w:type="dxa"/>
            <w:tcBorders>
              <w:top w:val="dotted" w:sz="4" w:space="0" w:color="auto"/>
            </w:tcBorders>
          </w:tcPr>
          <w:p w:rsidR="00C62E90" w:rsidRPr="00C62E90" w:rsidRDefault="007B201F" w:rsidP="007B201F">
            <w:pPr>
              <w:ind w:firstLineChars="100" w:firstLine="210"/>
            </w:pPr>
            <w:r>
              <w:rPr>
                <w:rFonts w:hint="eastAsia"/>
              </w:rPr>
              <w:t>グループで購入することに決めた物品と数量、その理由を発表させ、適切にコメントする。</w:t>
            </w:r>
          </w:p>
        </w:tc>
        <w:tc>
          <w:tcPr>
            <w:tcW w:w="3264" w:type="dxa"/>
            <w:tcBorders>
              <w:top w:val="dotted" w:sz="4" w:space="0" w:color="auto"/>
            </w:tcBorders>
          </w:tcPr>
          <w:p w:rsidR="00C62E90" w:rsidRDefault="00C62E90" w:rsidP="00512C43">
            <w:r>
              <w:rPr>
                <w:rFonts w:hint="eastAsia"/>
              </w:rPr>
              <w:t xml:space="preserve">　自分たちの考えを的確に発表で来ているか。</w:t>
            </w:r>
          </w:p>
          <w:p w:rsidR="00C62E90" w:rsidRDefault="00C62E90" w:rsidP="00512C43">
            <w:r>
              <w:rPr>
                <w:rFonts w:hint="eastAsia"/>
              </w:rPr>
              <w:t xml:space="preserve">　他者の意見をしっかりと聞けているか。</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C62E90" w:rsidRDefault="00C62E90" w:rsidP="0064149A">
            <w:pPr>
              <w:rPr>
                <w:rFonts w:hint="eastAsia"/>
              </w:rPr>
            </w:pPr>
            <w:r>
              <w:rPr>
                <w:rFonts w:hint="eastAsia"/>
              </w:rPr>
              <w:t xml:space="preserve">　説明を聞いて理解する。</w:t>
            </w:r>
          </w:p>
        </w:tc>
        <w:tc>
          <w:tcPr>
            <w:tcW w:w="3027" w:type="dxa"/>
            <w:tcBorders>
              <w:bottom w:val="dotted" w:sz="4" w:space="0" w:color="auto"/>
            </w:tcBorders>
          </w:tcPr>
          <w:p w:rsidR="007B201F" w:rsidRPr="00D318CF" w:rsidRDefault="007B201F" w:rsidP="007B201F">
            <w:pPr>
              <w:ind w:firstLineChars="100" w:firstLine="210"/>
            </w:pPr>
            <w:r>
              <w:rPr>
                <w:rFonts w:hint="eastAsia"/>
              </w:rPr>
              <w:t>非常持ち出し袋に入れる物品は人それぞれ違うことを理解させる。その背景には個人や家族の状況があることも理解させる。</w:t>
            </w:r>
          </w:p>
        </w:tc>
        <w:tc>
          <w:tcPr>
            <w:tcW w:w="3264" w:type="dxa"/>
            <w:tcBorders>
              <w:bottom w:val="dotted" w:sz="4" w:space="0" w:color="auto"/>
            </w:tcBorders>
          </w:tcPr>
          <w:p w:rsidR="00221D04" w:rsidRDefault="00221D04" w:rsidP="00BF7567">
            <w:r>
              <w:rPr>
                <w:rFonts w:hint="eastAsia"/>
              </w:rPr>
              <w:t xml:space="preserve">　個人、家族の背景によって非常持ち出し袋に入れる物品が異なることを理解しているか。</w:t>
            </w:r>
          </w:p>
        </w:tc>
      </w:tr>
      <w:tr w:rsidR="00D330F8" w:rsidTr="00BF7567">
        <w:trPr>
          <w:cantSplit/>
          <w:trHeight w:val="49"/>
        </w:trPr>
        <w:tc>
          <w:tcPr>
            <w:tcW w:w="582" w:type="dxa"/>
            <w:vMerge/>
            <w:textDirection w:val="tbRlV"/>
          </w:tcPr>
          <w:p w:rsidR="00D330F8" w:rsidRDefault="00D330F8" w:rsidP="00D330F8">
            <w:pPr>
              <w:ind w:left="113" w:right="113"/>
              <w:jc w:val="center"/>
            </w:pPr>
          </w:p>
        </w:tc>
        <w:tc>
          <w:tcPr>
            <w:tcW w:w="2755" w:type="dxa"/>
            <w:tcBorders>
              <w:top w:val="dotted" w:sz="4" w:space="0" w:color="auto"/>
            </w:tcBorders>
          </w:tcPr>
          <w:p w:rsidR="00D330F8" w:rsidRDefault="00C62E90" w:rsidP="00D330F8">
            <w:r>
              <w:rPr>
                <w:rFonts w:hint="eastAsia"/>
              </w:rPr>
              <w:t xml:space="preserve">　プリントを持ち帰って家族と何を話し合うかを考える。</w:t>
            </w:r>
          </w:p>
        </w:tc>
        <w:tc>
          <w:tcPr>
            <w:tcW w:w="3027" w:type="dxa"/>
            <w:tcBorders>
              <w:top w:val="dotted" w:sz="4" w:space="0" w:color="auto"/>
            </w:tcBorders>
          </w:tcPr>
          <w:p w:rsidR="00C62E90" w:rsidRDefault="00C62E90" w:rsidP="00C62E90">
            <w:pPr>
              <w:ind w:firstLineChars="100" w:firstLine="210"/>
            </w:pPr>
            <w:r>
              <w:rPr>
                <w:rFonts w:hint="eastAsia"/>
              </w:rPr>
              <w:t>プリントを家庭に持ち帰らせ、家族と家具の固定について話し合わせる。</w:t>
            </w:r>
          </w:p>
          <w:p w:rsidR="009D39D7" w:rsidRDefault="009D39D7" w:rsidP="00C62E90">
            <w:pPr>
              <w:ind w:firstLineChars="100" w:firstLine="210"/>
            </w:pPr>
            <w:r>
              <w:rPr>
                <w:rFonts w:hint="eastAsia"/>
              </w:rPr>
              <w:t>次の授業で話し合った内容をチェックする。</w:t>
            </w:r>
          </w:p>
        </w:tc>
        <w:tc>
          <w:tcPr>
            <w:tcW w:w="3264" w:type="dxa"/>
            <w:tcBorders>
              <w:top w:val="dotted" w:sz="4" w:space="0" w:color="auto"/>
            </w:tcBorders>
          </w:tcPr>
          <w:p w:rsidR="00D330F8" w:rsidRDefault="00C62E90" w:rsidP="00D330F8">
            <w:r>
              <w:rPr>
                <w:rFonts w:hint="eastAsia"/>
              </w:rPr>
              <w:t xml:space="preserve">　</w:t>
            </w:r>
          </w:p>
          <w:p w:rsidR="00C62E90" w:rsidRDefault="00C62E90" w:rsidP="00D330F8"/>
        </w:tc>
      </w:tr>
    </w:tbl>
    <w:p w:rsidR="00A25AE8" w:rsidRDefault="00A25AE8"/>
    <w:p w:rsidR="00A25AE8" w:rsidRPr="00730309" w:rsidRDefault="00A25AE8">
      <w:pPr>
        <w:rPr>
          <w:b/>
        </w:rPr>
      </w:pPr>
      <w:r w:rsidRPr="00730309">
        <w:rPr>
          <w:rFonts w:hint="eastAsia"/>
          <w:b/>
        </w:rPr>
        <w:t>７　事後の指導</w:t>
      </w:r>
    </w:p>
    <w:p w:rsidR="004359EE" w:rsidRDefault="004359EE"/>
    <w:tbl>
      <w:tblPr>
        <w:tblStyle w:val="a5"/>
        <w:tblW w:w="0" w:type="auto"/>
        <w:tblLook w:val="04A0" w:firstRow="1" w:lastRow="0" w:firstColumn="1" w:lastColumn="0" w:noHBand="0" w:noVBand="1"/>
      </w:tblPr>
      <w:tblGrid>
        <w:gridCol w:w="3210"/>
        <w:gridCol w:w="3209"/>
        <w:gridCol w:w="3209"/>
      </w:tblGrid>
      <w:tr w:rsidR="00A25AE8" w:rsidTr="00221D04">
        <w:trPr>
          <w:trHeight w:val="50"/>
        </w:trPr>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221D04" w:rsidRDefault="00221D04" w:rsidP="00221D04">
            <w:pPr>
              <w:ind w:firstLineChars="100" w:firstLine="210"/>
            </w:pPr>
            <w:r>
              <w:rPr>
                <w:rFonts w:hint="eastAsia"/>
              </w:rPr>
              <w:t>家族と非常持ち出し袋に入れる物品を考える。</w:t>
            </w:r>
          </w:p>
        </w:tc>
        <w:tc>
          <w:tcPr>
            <w:tcW w:w="3249" w:type="dxa"/>
          </w:tcPr>
          <w:p w:rsidR="00221D04" w:rsidRDefault="00221D04" w:rsidP="00221D04">
            <w:pPr>
              <w:ind w:firstLineChars="100" w:firstLine="210"/>
            </w:pPr>
            <w:r>
              <w:rPr>
                <w:rFonts w:hint="eastAsia"/>
              </w:rPr>
              <w:t>家族での話し合いがスムーズにいくようにプリントを準備する。</w:t>
            </w:r>
            <w:bookmarkStart w:id="0" w:name="_GoBack"/>
            <w:bookmarkEnd w:id="0"/>
          </w:p>
          <w:p w:rsidR="00221D04" w:rsidRDefault="00221D04" w:rsidP="00221D04">
            <w:pPr>
              <w:ind w:firstLineChars="100" w:firstLine="210"/>
            </w:pPr>
            <w:r>
              <w:rPr>
                <w:rFonts w:hint="eastAsia"/>
              </w:rPr>
              <w:t>必ず入れたいものと家族の事情で入れたいものがあっていいことを説明しておく。</w:t>
            </w:r>
          </w:p>
        </w:tc>
        <w:tc>
          <w:tcPr>
            <w:tcW w:w="3249" w:type="dxa"/>
          </w:tcPr>
          <w:p w:rsidR="00D318CF" w:rsidRDefault="00221D04" w:rsidP="00ED600A">
            <w:pPr>
              <w:ind w:firstLineChars="100" w:firstLine="210"/>
            </w:pPr>
            <w:r>
              <w:rPr>
                <w:rFonts w:hint="eastAsia"/>
              </w:rPr>
              <w:t>非常持ち出し袋の準備について家族と積極的に話し合っているか。</w:t>
            </w:r>
          </w:p>
          <w:p w:rsidR="00221D04" w:rsidRPr="00221D04" w:rsidRDefault="00221D04" w:rsidP="00ED600A">
            <w:pPr>
              <w:ind w:firstLineChars="100" w:firstLine="210"/>
            </w:pP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4D" w:rsidRDefault="00BF154D" w:rsidP="00102B11">
      <w:r>
        <w:separator/>
      </w:r>
    </w:p>
  </w:endnote>
  <w:endnote w:type="continuationSeparator" w:id="0">
    <w:p w:rsidR="00BF154D" w:rsidRDefault="00BF154D"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4D" w:rsidRDefault="00BF154D" w:rsidP="00102B11">
      <w:r>
        <w:separator/>
      </w:r>
    </w:p>
  </w:footnote>
  <w:footnote w:type="continuationSeparator" w:id="0">
    <w:p w:rsidR="00BF154D" w:rsidRDefault="00BF154D"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A1733"/>
    <w:rsid w:val="001A60ED"/>
    <w:rsid w:val="001B4216"/>
    <w:rsid w:val="001D4A01"/>
    <w:rsid w:val="001F03CE"/>
    <w:rsid w:val="00221D04"/>
    <w:rsid w:val="002240B5"/>
    <w:rsid w:val="00260A64"/>
    <w:rsid w:val="00277CD0"/>
    <w:rsid w:val="0028316C"/>
    <w:rsid w:val="002A60D3"/>
    <w:rsid w:val="002B0279"/>
    <w:rsid w:val="002C7389"/>
    <w:rsid w:val="002E0C58"/>
    <w:rsid w:val="002E3189"/>
    <w:rsid w:val="002F599A"/>
    <w:rsid w:val="003408A5"/>
    <w:rsid w:val="00357290"/>
    <w:rsid w:val="00361E68"/>
    <w:rsid w:val="00362211"/>
    <w:rsid w:val="00382B75"/>
    <w:rsid w:val="00394791"/>
    <w:rsid w:val="003D37C8"/>
    <w:rsid w:val="003E2830"/>
    <w:rsid w:val="003F63F7"/>
    <w:rsid w:val="00422142"/>
    <w:rsid w:val="004351A2"/>
    <w:rsid w:val="004359EE"/>
    <w:rsid w:val="004E3FEA"/>
    <w:rsid w:val="004F1343"/>
    <w:rsid w:val="004F5917"/>
    <w:rsid w:val="00506DCF"/>
    <w:rsid w:val="00512C43"/>
    <w:rsid w:val="005247F6"/>
    <w:rsid w:val="00544432"/>
    <w:rsid w:val="00566C40"/>
    <w:rsid w:val="00594FFB"/>
    <w:rsid w:val="005B2A55"/>
    <w:rsid w:val="005C1BC9"/>
    <w:rsid w:val="005E7387"/>
    <w:rsid w:val="006245F6"/>
    <w:rsid w:val="006276CF"/>
    <w:rsid w:val="00632959"/>
    <w:rsid w:val="0064149A"/>
    <w:rsid w:val="00652315"/>
    <w:rsid w:val="006774A3"/>
    <w:rsid w:val="00682663"/>
    <w:rsid w:val="006B423D"/>
    <w:rsid w:val="006F603B"/>
    <w:rsid w:val="0070240E"/>
    <w:rsid w:val="00707C3D"/>
    <w:rsid w:val="00730309"/>
    <w:rsid w:val="00752178"/>
    <w:rsid w:val="00765BA2"/>
    <w:rsid w:val="00772CF1"/>
    <w:rsid w:val="00774126"/>
    <w:rsid w:val="007762E1"/>
    <w:rsid w:val="007768B0"/>
    <w:rsid w:val="007B201F"/>
    <w:rsid w:val="007C7F38"/>
    <w:rsid w:val="007E5B33"/>
    <w:rsid w:val="00886290"/>
    <w:rsid w:val="008A714B"/>
    <w:rsid w:val="008D163C"/>
    <w:rsid w:val="00907DBD"/>
    <w:rsid w:val="0095025C"/>
    <w:rsid w:val="00964951"/>
    <w:rsid w:val="0099288F"/>
    <w:rsid w:val="009A7843"/>
    <w:rsid w:val="009B6BE9"/>
    <w:rsid w:val="009D2B21"/>
    <w:rsid w:val="009D39D7"/>
    <w:rsid w:val="009F3BC6"/>
    <w:rsid w:val="00A25AE8"/>
    <w:rsid w:val="00A56C1B"/>
    <w:rsid w:val="00AA1020"/>
    <w:rsid w:val="00AC52A1"/>
    <w:rsid w:val="00AD5AD0"/>
    <w:rsid w:val="00B0302C"/>
    <w:rsid w:val="00B51A3A"/>
    <w:rsid w:val="00B67B5E"/>
    <w:rsid w:val="00B701C5"/>
    <w:rsid w:val="00B71F41"/>
    <w:rsid w:val="00B81EAA"/>
    <w:rsid w:val="00B82FA1"/>
    <w:rsid w:val="00BC1542"/>
    <w:rsid w:val="00BC74B4"/>
    <w:rsid w:val="00BD11F5"/>
    <w:rsid w:val="00BF0714"/>
    <w:rsid w:val="00BF154D"/>
    <w:rsid w:val="00BF4942"/>
    <w:rsid w:val="00BF7567"/>
    <w:rsid w:val="00C01CE3"/>
    <w:rsid w:val="00C3345A"/>
    <w:rsid w:val="00C33B27"/>
    <w:rsid w:val="00C62E90"/>
    <w:rsid w:val="00CA0C05"/>
    <w:rsid w:val="00CC1A2E"/>
    <w:rsid w:val="00CF5174"/>
    <w:rsid w:val="00D06D3E"/>
    <w:rsid w:val="00D13947"/>
    <w:rsid w:val="00D16D0F"/>
    <w:rsid w:val="00D318CF"/>
    <w:rsid w:val="00D330F8"/>
    <w:rsid w:val="00D40C28"/>
    <w:rsid w:val="00D603E1"/>
    <w:rsid w:val="00DA5BA6"/>
    <w:rsid w:val="00E27839"/>
    <w:rsid w:val="00E36695"/>
    <w:rsid w:val="00E47EEA"/>
    <w:rsid w:val="00E61D8E"/>
    <w:rsid w:val="00E95D2C"/>
    <w:rsid w:val="00EA6352"/>
    <w:rsid w:val="00EC0040"/>
    <w:rsid w:val="00ED600A"/>
    <w:rsid w:val="00ED6E36"/>
    <w:rsid w:val="00F10642"/>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43AC9"/>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8</cp:revision>
  <cp:lastPrinted>2017-07-11T10:16:00Z</cp:lastPrinted>
  <dcterms:created xsi:type="dcterms:W3CDTF">2018-06-02T03:18:00Z</dcterms:created>
  <dcterms:modified xsi:type="dcterms:W3CDTF">2020-06-07T07:51:00Z</dcterms:modified>
</cp:coreProperties>
</file>